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632" w:type="dxa"/>
        <w:tblInd w:w="-885" w:type="dxa"/>
        <w:tblLook w:val="04A0" w:firstRow="1" w:lastRow="0" w:firstColumn="1" w:lastColumn="0" w:noHBand="0" w:noVBand="1"/>
      </w:tblPr>
      <w:tblGrid>
        <w:gridCol w:w="567"/>
        <w:gridCol w:w="2553"/>
        <w:gridCol w:w="7512"/>
      </w:tblGrid>
      <w:tr w:rsidR="00055447" w:rsidRPr="00710ABC" w:rsidTr="00710ABC">
        <w:tc>
          <w:tcPr>
            <w:tcW w:w="567" w:type="dxa"/>
          </w:tcPr>
          <w:p w:rsidR="00B122AA" w:rsidRPr="00710ABC" w:rsidRDefault="00B122AA" w:rsidP="00710ABC">
            <w:pPr>
              <w:jc w:val="both"/>
            </w:pPr>
            <w:r w:rsidRPr="00710ABC">
              <w:t>1.</w:t>
            </w:r>
          </w:p>
        </w:tc>
        <w:tc>
          <w:tcPr>
            <w:tcW w:w="2553" w:type="dxa"/>
          </w:tcPr>
          <w:p w:rsidR="00B122AA" w:rsidRPr="00710ABC" w:rsidRDefault="00B122AA" w:rsidP="00710ABC">
            <w:pPr>
              <w:jc w:val="both"/>
            </w:pPr>
            <w:r w:rsidRPr="00710ABC">
              <w:t>Ф.И.О педагога</w:t>
            </w:r>
          </w:p>
        </w:tc>
        <w:tc>
          <w:tcPr>
            <w:tcW w:w="7512" w:type="dxa"/>
          </w:tcPr>
          <w:p w:rsidR="00B122AA" w:rsidRPr="00710ABC" w:rsidRDefault="009F1B8E" w:rsidP="00710ABC">
            <w:pPr>
              <w:jc w:val="both"/>
            </w:pPr>
            <w:r w:rsidRPr="00710ABC">
              <w:t>Орлов Максим Юрьевич</w:t>
            </w:r>
          </w:p>
        </w:tc>
      </w:tr>
      <w:tr w:rsidR="00BD6384" w:rsidRPr="00710ABC" w:rsidTr="00710ABC">
        <w:tc>
          <w:tcPr>
            <w:tcW w:w="567" w:type="dxa"/>
          </w:tcPr>
          <w:p w:rsidR="00BD6384" w:rsidRPr="00710ABC" w:rsidRDefault="00BD6384" w:rsidP="00710ABC">
            <w:pPr>
              <w:jc w:val="both"/>
            </w:pPr>
            <w:r w:rsidRPr="00710ABC">
              <w:t>2.</w:t>
            </w:r>
          </w:p>
        </w:tc>
        <w:tc>
          <w:tcPr>
            <w:tcW w:w="2553" w:type="dxa"/>
          </w:tcPr>
          <w:p w:rsidR="00BD6384" w:rsidRPr="00710ABC" w:rsidRDefault="00BD6384" w:rsidP="00710ABC">
            <w:pPr>
              <w:jc w:val="both"/>
            </w:pPr>
            <w:r w:rsidRPr="00710ABC">
              <w:t>Название образовательной организации</w:t>
            </w:r>
          </w:p>
        </w:tc>
        <w:tc>
          <w:tcPr>
            <w:tcW w:w="7512" w:type="dxa"/>
          </w:tcPr>
          <w:p w:rsidR="00BD6384" w:rsidRPr="00710ABC" w:rsidRDefault="00BD6384" w:rsidP="00710ABC">
            <w:pPr>
              <w:jc w:val="both"/>
            </w:pPr>
            <w:r w:rsidRPr="00710ABC">
              <w:t>ОГБУДО «Детский эколого-биологический центр»</w:t>
            </w:r>
          </w:p>
        </w:tc>
      </w:tr>
      <w:tr w:rsidR="00BD6384" w:rsidRPr="00710ABC" w:rsidTr="00710ABC">
        <w:tc>
          <w:tcPr>
            <w:tcW w:w="567" w:type="dxa"/>
          </w:tcPr>
          <w:p w:rsidR="00BD6384" w:rsidRPr="00710ABC" w:rsidRDefault="00BD6384" w:rsidP="00710ABC">
            <w:pPr>
              <w:jc w:val="both"/>
            </w:pPr>
            <w:r w:rsidRPr="00710ABC">
              <w:t>3.</w:t>
            </w:r>
          </w:p>
        </w:tc>
        <w:tc>
          <w:tcPr>
            <w:tcW w:w="2553" w:type="dxa"/>
          </w:tcPr>
          <w:p w:rsidR="00BD6384" w:rsidRPr="00710ABC" w:rsidRDefault="00BD6384" w:rsidP="00710ABC">
            <w:pPr>
              <w:jc w:val="both"/>
            </w:pPr>
            <w:r w:rsidRPr="00710ABC">
              <w:t xml:space="preserve">Тема </w:t>
            </w:r>
          </w:p>
        </w:tc>
        <w:tc>
          <w:tcPr>
            <w:tcW w:w="7512" w:type="dxa"/>
          </w:tcPr>
          <w:p w:rsidR="00BD6384" w:rsidRPr="00710ABC" w:rsidRDefault="00BD6384" w:rsidP="00710ABC">
            <w:pPr>
              <w:jc w:val="both"/>
            </w:pPr>
            <w:r w:rsidRPr="00710ABC">
              <w:t>«Онлайн школа научно-технического творчества «Город будущего» для подростков, находящихся в трудной жизненной ситуации»</w:t>
            </w:r>
          </w:p>
        </w:tc>
      </w:tr>
      <w:tr w:rsidR="00BD6384" w:rsidRPr="00710ABC" w:rsidTr="00710ABC">
        <w:tc>
          <w:tcPr>
            <w:tcW w:w="567" w:type="dxa"/>
          </w:tcPr>
          <w:p w:rsidR="00BD6384" w:rsidRPr="00710ABC" w:rsidRDefault="00BD6384" w:rsidP="00710ABC">
            <w:pPr>
              <w:jc w:val="both"/>
            </w:pPr>
            <w:r w:rsidRPr="00710ABC">
              <w:t>4.</w:t>
            </w:r>
          </w:p>
        </w:tc>
        <w:tc>
          <w:tcPr>
            <w:tcW w:w="2553" w:type="dxa"/>
          </w:tcPr>
          <w:p w:rsidR="00BD6384" w:rsidRPr="00710ABC" w:rsidRDefault="00BD6384" w:rsidP="00710ABC">
            <w:pPr>
              <w:jc w:val="both"/>
            </w:pPr>
            <w:r w:rsidRPr="00710ABC">
              <w:t>Условия возникновения, становление практики</w:t>
            </w:r>
          </w:p>
        </w:tc>
        <w:tc>
          <w:tcPr>
            <w:tcW w:w="7512" w:type="dxa"/>
          </w:tcPr>
          <w:p w:rsidR="00BD6384" w:rsidRPr="00710ABC" w:rsidRDefault="00BD6384" w:rsidP="00710ABC">
            <w:pPr>
              <w:jc w:val="both"/>
            </w:pPr>
            <w:r w:rsidRPr="00710ABC">
              <w:t xml:space="preserve">Проект стал победителем конкурса грантов Губернатора Рязанской области на реализацию молодежных проектов. </w:t>
            </w:r>
          </w:p>
        </w:tc>
      </w:tr>
      <w:tr w:rsidR="00BD6384" w:rsidRPr="00710ABC" w:rsidTr="00710ABC">
        <w:tc>
          <w:tcPr>
            <w:tcW w:w="567" w:type="dxa"/>
          </w:tcPr>
          <w:p w:rsidR="00BD6384" w:rsidRPr="00710ABC" w:rsidRDefault="00BD6384" w:rsidP="00710ABC">
            <w:pPr>
              <w:jc w:val="both"/>
            </w:pPr>
            <w:r w:rsidRPr="00710ABC">
              <w:t>5.</w:t>
            </w:r>
          </w:p>
        </w:tc>
        <w:tc>
          <w:tcPr>
            <w:tcW w:w="2553" w:type="dxa"/>
          </w:tcPr>
          <w:p w:rsidR="00BD6384" w:rsidRPr="00710ABC" w:rsidRDefault="00BD6384" w:rsidP="00710ABC">
            <w:pPr>
              <w:jc w:val="both"/>
            </w:pPr>
            <w:r w:rsidRPr="00710ABC">
              <w:t>Актуальность и перспективность практики</w:t>
            </w:r>
          </w:p>
        </w:tc>
        <w:tc>
          <w:tcPr>
            <w:tcW w:w="7512" w:type="dxa"/>
          </w:tcPr>
          <w:p w:rsidR="00BD6384" w:rsidRPr="00710ABC" w:rsidRDefault="00BD6384" w:rsidP="00710ABC">
            <w:pPr>
              <w:jc w:val="both"/>
            </w:pPr>
            <w:r w:rsidRPr="00710ABC">
              <w:t xml:space="preserve">Профориентация подростков часто происходит по достаточно стандартной схеме и включает в себя несколько простых тестов, экскурсии, а также разговор с будущим специалистом. Проблема усложняется еще и тем, что для большинства подростков, состоящих на различных видах учета, задачи личностного и профессионального развития, планирования профессиональной деятельности, построение карьеры не представляются значимыми. Спектр доступных профессий представляется им крайне узким, нет понимания рынка труда, возможностей для развития. Низкая мотивация, иждивенческая позиция, отсутствие знаний, навыков и опыта работы являются барьерами для успеха. </w:t>
            </w:r>
          </w:p>
          <w:p w:rsidR="00BD6384" w:rsidRPr="00710ABC" w:rsidRDefault="00BD6384" w:rsidP="00710ABC">
            <w:pPr>
              <w:jc w:val="both"/>
            </w:pPr>
            <w:proofErr w:type="gramStart"/>
            <w:r w:rsidRPr="00710ABC">
              <w:t xml:space="preserve">Вот почему деятельность, направленная на </w:t>
            </w:r>
            <w:proofErr w:type="spellStart"/>
            <w:r w:rsidRPr="00710ABC">
              <w:t>профориентационное</w:t>
            </w:r>
            <w:proofErr w:type="spellEnd"/>
            <w:r w:rsidRPr="00710ABC">
              <w:t xml:space="preserve"> сопровождение несовершеннолетних, находящихся в трудной жизненной ситуации,</w:t>
            </w:r>
            <w:r w:rsidR="00D120F3">
              <w:t xml:space="preserve"> </w:t>
            </w:r>
            <w:r w:rsidRPr="00710ABC">
              <w:t xml:space="preserve"> должна ориентироваться на системность и поиск инновационных форм работы, способствующих формированию навыков и качеств, необходимых для реализации в будущей трудовой деятельности и общественной жизни.</w:t>
            </w:r>
            <w:proofErr w:type="gramEnd"/>
          </w:p>
          <w:p w:rsidR="00BD6384" w:rsidRPr="00710ABC" w:rsidRDefault="00BD6384" w:rsidP="00710ABC">
            <w:pPr>
              <w:jc w:val="both"/>
            </w:pPr>
            <w:r w:rsidRPr="00710ABC">
              <w:t xml:space="preserve">Проект призван способствовать решению следующих проблем: </w:t>
            </w:r>
          </w:p>
          <w:p w:rsidR="00BD6384" w:rsidRPr="00710ABC" w:rsidRDefault="00BD6384" w:rsidP="00710ABC">
            <w:pPr>
              <w:jc w:val="both"/>
            </w:pPr>
            <w:r w:rsidRPr="00710ABC">
              <w:rPr>
                <w:b/>
              </w:rPr>
              <w:t>Проблема 1:</w:t>
            </w:r>
            <w:r w:rsidRPr="00710ABC">
              <w:t xml:space="preserve"> недостаточно эффективная профориентация с подростками, состоящими на разных видах учета (непривлекательные и устаревшие профессии, отсутствие системной работы и упор на разовые мероприятия, не предоставляется возможность пробного трудоустройства по данной профессии, некорректно выбранные формы работы с целевой аудиторией)</w:t>
            </w:r>
            <w:r w:rsidR="00D120F3">
              <w:t>.</w:t>
            </w:r>
            <w:r w:rsidRPr="00710ABC">
              <w:t xml:space="preserve"> </w:t>
            </w:r>
          </w:p>
          <w:p w:rsidR="00BD6384" w:rsidRPr="00710ABC" w:rsidRDefault="00BD6384" w:rsidP="00710ABC">
            <w:pPr>
              <w:jc w:val="both"/>
            </w:pPr>
            <w:r w:rsidRPr="00710ABC">
              <w:rPr>
                <w:b/>
              </w:rPr>
              <w:t>Проблема 2:</w:t>
            </w:r>
            <w:r w:rsidRPr="00710ABC">
              <w:t xml:space="preserve"> недостаточная организованность свободного времени и досуга несовершеннолетних, состоящих на различных видах профилактических учетов.</w:t>
            </w:r>
          </w:p>
          <w:p w:rsidR="00BD6384" w:rsidRPr="00710ABC" w:rsidRDefault="00BD6384" w:rsidP="00710ABC">
            <w:pPr>
              <w:jc w:val="both"/>
            </w:pPr>
            <w:r w:rsidRPr="00710ABC">
              <w:t xml:space="preserve">Одним из возможных способов решения данной проблемы является организация групповых занятий онлайн по интересным направлениям, где дети будут общаться во время выполнения совместных </w:t>
            </w:r>
            <w:proofErr w:type="gramStart"/>
            <w:r w:rsidRPr="00710ABC">
              <w:t>проектов</w:t>
            </w:r>
            <w:proofErr w:type="gramEnd"/>
            <w:r w:rsidRPr="00710ABC">
              <w:t xml:space="preserve"> и при этом будут осваивать основы профессий</w:t>
            </w:r>
            <w:r w:rsidR="00D120F3">
              <w:t>,</w:t>
            </w:r>
            <w:r w:rsidRPr="00710ABC">
              <w:t xml:space="preserve"> быстро</w:t>
            </w:r>
            <w:r w:rsidR="00D120F3">
              <w:t xml:space="preserve"> </w:t>
            </w:r>
            <w:r w:rsidRPr="00710ABC">
              <w:t>развивающихся в настоящее время, что в последующем позволит ребенку определиться со сферой деятельности</w:t>
            </w:r>
            <w:r w:rsidR="00D120F3">
              <w:t>,</w:t>
            </w:r>
            <w:r w:rsidRPr="00710ABC">
              <w:t xml:space="preserve"> в которой он хотел бы трудиться.</w:t>
            </w:r>
          </w:p>
        </w:tc>
      </w:tr>
      <w:tr w:rsidR="00BD6384" w:rsidRPr="00710ABC" w:rsidTr="00710ABC">
        <w:tc>
          <w:tcPr>
            <w:tcW w:w="567" w:type="dxa"/>
          </w:tcPr>
          <w:p w:rsidR="00BD6384" w:rsidRPr="00710ABC" w:rsidRDefault="00BD6384" w:rsidP="00710ABC">
            <w:pPr>
              <w:jc w:val="both"/>
            </w:pPr>
            <w:r w:rsidRPr="00710ABC">
              <w:t>6.</w:t>
            </w:r>
          </w:p>
        </w:tc>
        <w:tc>
          <w:tcPr>
            <w:tcW w:w="2553" w:type="dxa"/>
          </w:tcPr>
          <w:p w:rsidR="00BD6384" w:rsidRPr="00710ABC" w:rsidRDefault="00BD6384" w:rsidP="00710ABC">
            <w:pPr>
              <w:jc w:val="both"/>
            </w:pPr>
            <w:r w:rsidRPr="00710ABC">
              <w:t>Ведущая педагогическая идея</w:t>
            </w:r>
          </w:p>
        </w:tc>
        <w:tc>
          <w:tcPr>
            <w:tcW w:w="7512" w:type="dxa"/>
          </w:tcPr>
          <w:p w:rsidR="00BD6384" w:rsidRPr="00710ABC" w:rsidRDefault="00BD6384" w:rsidP="00710ABC">
            <w:pPr>
              <w:jc w:val="both"/>
            </w:pPr>
            <w:r w:rsidRPr="00710ABC">
              <w:t>Основная идея проекта заключается в том, что</w:t>
            </w:r>
            <w:r w:rsidR="00D120F3">
              <w:t>бы</w:t>
            </w:r>
            <w:r w:rsidRPr="00710ABC">
              <w:t xml:space="preserve"> путем обучения подростков в системе дополнительного образования сформировать у них представление о современных технических компетенциях.</w:t>
            </w:r>
          </w:p>
        </w:tc>
      </w:tr>
      <w:tr w:rsidR="00BD6384" w:rsidRPr="00710ABC" w:rsidTr="00710ABC">
        <w:tc>
          <w:tcPr>
            <w:tcW w:w="567" w:type="dxa"/>
          </w:tcPr>
          <w:p w:rsidR="00BD6384" w:rsidRPr="00710ABC" w:rsidRDefault="00BD6384" w:rsidP="00710ABC">
            <w:pPr>
              <w:jc w:val="both"/>
            </w:pPr>
            <w:r w:rsidRPr="00710ABC">
              <w:t>7.</w:t>
            </w:r>
          </w:p>
        </w:tc>
        <w:tc>
          <w:tcPr>
            <w:tcW w:w="2553" w:type="dxa"/>
          </w:tcPr>
          <w:p w:rsidR="00BD6384" w:rsidRPr="00710ABC" w:rsidRDefault="00BD6384" w:rsidP="00710ABC">
            <w:pPr>
              <w:jc w:val="both"/>
            </w:pPr>
            <w:r w:rsidRPr="00710ABC">
              <w:t>Теоретическая база практики</w:t>
            </w:r>
          </w:p>
        </w:tc>
        <w:tc>
          <w:tcPr>
            <w:tcW w:w="7512" w:type="dxa"/>
          </w:tcPr>
          <w:p w:rsidR="00BD6384" w:rsidRPr="00710ABC" w:rsidRDefault="003226BE" w:rsidP="00D120F3">
            <w:r w:rsidRPr="00710ABC">
              <w:rPr>
                <w:rStyle w:val="c6"/>
                <w:color w:val="000000"/>
                <w:shd w:val="clear" w:color="auto" w:fill="FFFFFF"/>
              </w:rPr>
              <w:t>Организация </w:t>
            </w:r>
            <w:r w:rsidRPr="00710ABC">
              <w:rPr>
                <w:rStyle w:val="c3"/>
                <w:b/>
                <w:bCs/>
                <w:color w:val="000000"/>
                <w:shd w:val="clear" w:color="auto" w:fill="FFFFFF"/>
              </w:rPr>
              <w:t>профессиональных проб</w:t>
            </w:r>
            <w:r w:rsidRPr="00710ABC">
              <w:rPr>
                <w:rStyle w:val="c6"/>
                <w:color w:val="000000"/>
                <w:shd w:val="clear" w:color="auto" w:fill="FFFFFF"/>
              </w:rPr>
              <w:t> - важнейшая задача профориентации. Профессиональные пробы  осуществляются  в реальной деятельности через занятия в объединениях дополнительного образова</w:t>
            </w:r>
            <w:r w:rsidR="00D120F3">
              <w:rPr>
                <w:rStyle w:val="c6"/>
                <w:color w:val="000000"/>
                <w:shd w:val="clear" w:color="auto" w:fill="FFFFFF"/>
              </w:rPr>
              <w:t>ния.</w:t>
            </w:r>
            <w:r w:rsidRPr="00710ABC">
              <w:rPr>
                <w:rStyle w:val="c6"/>
                <w:color w:val="000000"/>
                <w:shd w:val="clear" w:color="auto" w:fill="FFFFFF"/>
              </w:rPr>
              <w:t xml:space="preserve"> Важная задача профессиональных проб - включить учащихся в реальные трудовые отношения, сформировать готовность к самостоятельному и обоснованному </w:t>
            </w:r>
            <w:r w:rsidRPr="00710ABC">
              <w:rPr>
                <w:rStyle w:val="c6"/>
                <w:color w:val="000000"/>
                <w:shd w:val="clear" w:color="auto" w:fill="FFFFFF"/>
              </w:rPr>
              <w:lastRenderedPageBreak/>
              <w:t xml:space="preserve">выбору профессии. По итогам профессиональных проб обучающиеся </w:t>
            </w:r>
            <w:r w:rsidRPr="00D120F3">
              <w:rPr>
                <w:rStyle w:val="c6"/>
                <w:b/>
                <w:color w:val="000000"/>
                <w:shd w:val="clear" w:color="auto" w:fill="FFFFFF"/>
              </w:rPr>
              <w:t>должны</w:t>
            </w:r>
            <w:r w:rsidR="00D120F3" w:rsidRPr="00D120F3">
              <w:rPr>
                <w:rStyle w:val="c6"/>
                <w:b/>
                <w:color w:val="000000"/>
                <w:shd w:val="clear" w:color="auto" w:fill="FFFFFF"/>
              </w:rPr>
              <w:t xml:space="preserve"> </w:t>
            </w:r>
            <w:r w:rsidRPr="00D120F3">
              <w:rPr>
                <w:rStyle w:val="c6"/>
                <w:b/>
                <w:color w:val="000000"/>
                <w:shd w:val="clear" w:color="auto" w:fill="FFFFFF"/>
              </w:rPr>
              <w:t>знать:</w:t>
            </w:r>
            <w:r w:rsidRPr="00710ABC">
              <w:rPr>
                <w:rStyle w:val="c6"/>
                <w:color w:val="000000"/>
                <w:shd w:val="clear" w:color="auto" w:fill="FFFFFF"/>
              </w:rPr>
              <w:t> </w:t>
            </w:r>
            <w:r w:rsidRPr="00710ABC">
              <w:rPr>
                <w:color w:val="000000"/>
                <w:shd w:val="clear" w:color="auto" w:fill="FFFFFF"/>
              </w:rPr>
              <w:br/>
            </w:r>
            <w:r w:rsidRPr="00710ABC">
              <w:rPr>
                <w:rStyle w:val="c6"/>
                <w:color w:val="000000"/>
                <w:shd w:val="clear" w:color="auto" w:fill="FFFFFF"/>
              </w:rPr>
              <w:t>- содержание, характер труда в той сфере деятельности, где они пробуют профессиональные способности; </w:t>
            </w:r>
            <w:r w:rsidRPr="00710ABC">
              <w:rPr>
                <w:color w:val="000000"/>
                <w:shd w:val="clear" w:color="auto" w:fill="FFFFFF"/>
              </w:rPr>
              <w:br/>
            </w:r>
            <w:r w:rsidRPr="00710ABC">
              <w:rPr>
                <w:rStyle w:val="c6"/>
                <w:color w:val="000000"/>
                <w:shd w:val="clear" w:color="auto" w:fill="FFFFFF"/>
              </w:rPr>
              <w:t xml:space="preserve"> - требования, предъявляемые к профессиональным качествам; </w:t>
            </w:r>
            <w:r w:rsidRPr="00710ABC">
              <w:rPr>
                <w:color w:val="000000"/>
                <w:shd w:val="clear" w:color="auto" w:fill="FFFFFF"/>
              </w:rPr>
              <w:br/>
            </w:r>
            <w:r w:rsidRPr="00710ABC">
              <w:rPr>
                <w:rStyle w:val="c6"/>
                <w:color w:val="000000"/>
                <w:shd w:val="clear" w:color="auto" w:fill="FFFFFF"/>
              </w:rPr>
              <w:t>- общие теоретические сведения, связанные с характером воспитательной работы; </w:t>
            </w:r>
            <w:r w:rsidRPr="00710ABC">
              <w:rPr>
                <w:color w:val="000000"/>
                <w:shd w:val="clear" w:color="auto" w:fill="FFFFFF"/>
              </w:rPr>
              <w:br/>
            </w:r>
            <w:r w:rsidRPr="00710ABC">
              <w:rPr>
                <w:rStyle w:val="c6"/>
                <w:color w:val="000000"/>
                <w:shd w:val="clear" w:color="auto" w:fill="FFFFFF"/>
              </w:rPr>
              <w:t>- технологию выполнения профессиональной пробы; </w:t>
            </w:r>
            <w:r w:rsidRPr="00710ABC">
              <w:rPr>
                <w:color w:val="000000"/>
                <w:shd w:val="clear" w:color="auto" w:fill="FFFFFF"/>
              </w:rPr>
              <w:br/>
            </w:r>
            <w:r w:rsidRPr="00710ABC">
              <w:rPr>
                <w:rStyle w:val="c6"/>
                <w:color w:val="000000"/>
                <w:shd w:val="clear" w:color="auto" w:fill="FFFFFF"/>
              </w:rPr>
              <w:t xml:space="preserve"> - правила безопасности труда; </w:t>
            </w:r>
            <w:r w:rsidRPr="00710ABC">
              <w:rPr>
                <w:color w:val="000000"/>
                <w:shd w:val="clear" w:color="auto" w:fill="FFFFFF"/>
              </w:rPr>
              <w:br/>
            </w:r>
            <w:r w:rsidRPr="00710ABC">
              <w:rPr>
                <w:rStyle w:val="c6"/>
                <w:color w:val="000000"/>
                <w:shd w:val="clear" w:color="auto" w:fill="FFFFFF"/>
              </w:rPr>
              <w:t>- инструменты, материалы, оборудование и правила их использования. </w:t>
            </w:r>
            <w:r w:rsidRPr="00710ABC">
              <w:rPr>
                <w:color w:val="000000"/>
                <w:shd w:val="clear" w:color="auto" w:fill="FFFFFF"/>
              </w:rPr>
              <w:br/>
            </w:r>
            <w:r w:rsidRPr="00710ABC">
              <w:rPr>
                <w:rStyle w:val="c6"/>
                <w:color w:val="000000"/>
                <w:shd w:val="clear" w:color="auto" w:fill="FFFFFF"/>
              </w:rPr>
              <w:t xml:space="preserve"> </w:t>
            </w:r>
            <w:r w:rsidRPr="00D120F3">
              <w:rPr>
                <w:rStyle w:val="c6"/>
                <w:b/>
                <w:color w:val="000000"/>
                <w:shd w:val="clear" w:color="auto" w:fill="FFFFFF"/>
              </w:rPr>
              <w:t>Должны уметь:</w:t>
            </w:r>
            <w:r w:rsidRPr="00710ABC">
              <w:rPr>
                <w:rStyle w:val="c6"/>
                <w:color w:val="000000"/>
                <w:shd w:val="clear" w:color="auto" w:fill="FFFFFF"/>
              </w:rPr>
              <w:t> </w:t>
            </w:r>
            <w:r w:rsidRPr="00710ABC">
              <w:rPr>
                <w:color w:val="000000"/>
                <w:shd w:val="clear" w:color="auto" w:fill="FFFFFF"/>
              </w:rPr>
              <w:br/>
            </w:r>
            <w:r w:rsidRPr="00710ABC">
              <w:rPr>
                <w:rStyle w:val="c6"/>
                <w:color w:val="000000"/>
                <w:shd w:val="clear" w:color="auto" w:fill="FFFFFF"/>
              </w:rPr>
              <w:t xml:space="preserve"> - выполнять простейшие операции; </w:t>
            </w:r>
            <w:r w:rsidRPr="00710ABC">
              <w:rPr>
                <w:color w:val="000000"/>
                <w:shd w:val="clear" w:color="auto" w:fill="FFFFFF"/>
              </w:rPr>
              <w:br/>
            </w:r>
            <w:r w:rsidRPr="00710ABC">
              <w:rPr>
                <w:rStyle w:val="c6"/>
                <w:color w:val="000000"/>
                <w:shd w:val="clear" w:color="auto" w:fill="FFFFFF"/>
              </w:rPr>
              <w:t>- пользоваться инструментом, материалом и документацией; </w:t>
            </w:r>
            <w:r w:rsidRPr="00710ABC">
              <w:rPr>
                <w:color w:val="000000"/>
                <w:shd w:val="clear" w:color="auto" w:fill="FFFFFF"/>
              </w:rPr>
              <w:br/>
            </w:r>
            <w:r w:rsidRPr="00710ABC">
              <w:rPr>
                <w:rStyle w:val="c6"/>
                <w:color w:val="000000"/>
                <w:shd w:val="clear" w:color="auto" w:fill="FFFFFF"/>
              </w:rPr>
              <w:t xml:space="preserve"> - </w:t>
            </w:r>
            <w:r w:rsidR="00D120F3">
              <w:rPr>
                <w:rStyle w:val="c6"/>
                <w:color w:val="000000"/>
                <w:shd w:val="clear" w:color="auto" w:fill="FFFFFF"/>
              </w:rPr>
              <w:t xml:space="preserve">соблюдать </w:t>
            </w:r>
            <w:r w:rsidRPr="00710ABC">
              <w:rPr>
                <w:rStyle w:val="c6"/>
                <w:color w:val="000000"/>
                <w:shd w:val="clear" w:color="auto" w:fill="FFFFFF"/>
              </w:rPr>
              <w:t xml:space="preserve"> правила безопасности труда; </w:t>
            </w:r>
            <w:r w:rsidRPr="00710ABC">
              <w:rPr>
                <w:color w:val="000000"/>
                <w:shd w:val="clear" w:color="auto" w:fill="FFFFFF"/>
              </w:rPr>
              <w:br/>
            </w:r>
            <w:r w:rsidRPr="00710ABC">
              <w:rPr>
                <w:rStyle w:val="c6"/>
                <w:color w:val="000000"/>
                <w:shd w:val="clear" w:color="auto" w:fill="FFFFFF"/>
              </w:rPr>
              <w:t>- выполнять простейшие вычислительные и измерительные операции; </w:t>
            </w:r>
            <w:r w:rsidRPr="00710ABC">
              <w:rPr>
                <w:color w:val="000000"/>
                <w:shd w:val="clear" w:color="auto" w:fill="FFFFFF"/>
              </w:rPr>
              <w:br/>
            </w:r>
            <w:r w:rsidRPr="00710ABC">
              <w:rPr>
                <w:rStyle w:val="c6"/>
                <w:color w:val="000000"/>
                <w:shd w:val="clear" w:color="auto" w:fill="FFFFFF"/>
              </w:rPr>
              <w:t xml:space="preserve"> - соотносить свои индивидуальные особенности с профессиональными требованиями.</w:t>
            </w:r>
          </w:p>
        </w:tc>
      </w:tr>
      <w:tr w:rsidR="00BD6384" w:rsidRPr="00710ABC" w:rsidTr="00710ABC">
        <w:tc>
          <w:tcPr>
            <w:tcW w:w="567" w:type="dxa"/>
          </w:tcPr>
          <w:p w:rsidR="00BD6384" w:rsidRPr="00710ABC" w:rsidRDefault="00BD6384" w:rsidP="00710ABC">
            <w:pPr>
              <w:jc w:val="both"/>
            </w:pPr>
            <w:r w:rsidRPr="00710ABC">
              <w:lastRenderedPageBreak/>
              <w:t>8.</w:t>
            </w:r>
          </w:p>
        </w:tc>
        <w:tc>
          <w:tcPr>
            <w:tcW w:w="2553" w:type="dxa"/>
          </w:tcPr>
          <w:p w:rsidR="00BD6384" w:rsidRPr="00710ABC" w:rsidRDefault="00BD6384" w:rsidP="00710ABC">
            <w:pPr>
              <w:jc w:val="both"/>
            </w:pPr>
            <w:r w:rsidRPr="00710ABC">
              <w:t>Новизна практики</w:t>
            </w:r>
          </w:p>
        </w:tc>
        <w:tc>
          <w:tcPr>
            <w:tcW w:w="7512" w:type="dxa"/>
          </w:tcPr>
          <w:p w:rsidR="00BD6384" w:rsidRPr="00710ABC" w:rsidRDefault="00BD6384" w:rsidP="00710ABC">
            <w:pPr>
              <w:jc w:val="both"/>
            </w:pPr>
            <w:r w:rsidRPr="00710ABC">
              <w:t xml:space="preserve">Новизна проекта заключается в использовании промышленного оборудования для формирования современных компетенций у подростков. Выстраивается единая система обучения от двумерной графики до непосредственной работы на оборудовании. </w:t>
            </w:r>
          </w:p>
        </w:tc>
      </w:tr>
      <w:tr w:rsidR="00BD6384" w:rsidRPr="00710ABC" w:rsidTr="00710ABC">
        <w:tc>
          <w:tcPr>
            <w:tcW w:w="567" w:type="dxa"/>
          </w:tcPr>
          <w:p w:rsidR="00BD6384" w:rsidRPr="00710ABC" w:rsidRDefault="00BD6384" w:rsidP="00710ABC">
            <w:pPr>
              <w:jc w:val="both"/>
            </w:pPr>
            <w:r w:rsidRPr="00710ABC">
              <w:t>9.</w:t>
            </w:r>
          </w:p>
        </w:tc>
        <w:tc>
          <w:tcPr>
            <w:tcW w:w="2553" w:type="dxa"/>
          </w:tcPr>
          <w:p w:rsidR="00BD6384" w:rsidRPr="00710ABC" w:rsidRDefault="00BD6384" w:rsidP="00710ABC">
            <w:pPr>
              <w:jc w:val="both"/>
            </w:pPr>
            <w:r w:rsidRPr="00710ABC">
              <w:t>Технология</w:t>
            </w:r>
          </w:p>
        </w:tc>
        <w:tc>
          <w:tcPr>
            <w:tcW w:w="7512" w:type="dxa"/>
          </w:tcPr>
          <w:p w:rsidR="00BD6384" w:rsidRPr="00710ABC" w:rsidRDefault="00BD6384" w:rsidP="00710ABC">
            <w:pPr>
              <w:jc w:val="both"/>
            </w:pPr>
            <w:r w:rsidRPr="00710ABC">
              <w:rPr>
                <w:b/>
              </w:rPr>
              <w:t>Цель проекта:</w:t>
            </w:r>
            <w:r w:rsidRPr="00710ABC">
              <w:t xml:space="preserve"> Создание условий для освоения профессиональных компетенций по «профессиям будущего» и профессиональной ориентации несовершеннолетних, состоящих на различных профилактических учетах, посредством проведения онлайн-школы научно-технического творчества «Город будущего».</w:t>
            </w:r>
          </w:p>
          <w:p w:rsidR="00BD6384" w:rsidRPr="00710ABC" w:rsidRDefault="00BD6384" w:rsidP="00710ABC">
            <w:pPr>
              <w:jc w:val="both"/>
              <w:rPr>
                <w:b/>
              </w:rPr>
            </w:pPr>
            <w:r w:rsidRPr="00710ABC">
              <w:rPr>
                <w:b/>
              </w:rPr>
              <w:t>Задачи проекта:</w:t>
            </w:r>
          </w:p>
          <w:p w:rsidR="00BD6384" w:rsidRPr="00710ABC" w:rsidRDefault="00BD6384" w:rsidP="00710ABC">
            <w:pPr>
              <w:jc w:val="both"/>
            </w:pPr>
            <w:r w:rsidRPr="00710ABC">
              <w:t xml:space="preserve">1. Формирование и обучение команды проекта: волонтеров, </w:t>
            </w:r>
            <w:proofErr w:type="spellStart"/>
            <w:r w:rsidRPr="00710ABC">
              <w:t>тьюторов</w:t>
            </w:r>
            <w:proofErr w:type="spellEnd"/>
            <w:r w:rsidRPr="00710ABC">
              <w:t xml:space="preserve">, педагогов. </w:t>
            </w:r>
          </w:p>
          <w:p w:rsidR="00BD6384" w:rsidRPr="00710ABC" w:rsidRDefault="00BD6384" w:rsidP="00710ABC">
            <w:pPr>
              <w:jc w:val="both"/>
            </w:pPr>
            <w:r w:rsidRPr="00710ABC">
              <w:t>2. Формирование целевой группы проекта, набор подростков в онлайн-школу «Город будущего».</w:t>
            </w:r>
          </w:p>
          <w:p w:rsidR="00BD6384" w:rsidRPr="00710ABC" w:rsidRDefault="00BD6384" w:rsidP="00710ABC">
            <w:pPr>
              <w:jc w:val="both"/>
            </w:pPr>
            <w:r w:rsidRPr="00710ABC">
              <w:t xml:space="preserve">3.Разработка программ и организация дополнительного образования для подростков целевой группы по 5 инновационным </w:t>
            </w:r>
            <w:proofErr w:type="spellStart"/>
            <w:r w:rsidRPr="00710ABC">
              <w:t>профориентационным</w:t>
            </w:r>
            <w:proofErr w:type="spellEnd"/>
            <w:r w:rsidRPr="00710ABC">
              <w:t xml:space="preserve"> направлениям:</w:t>
            </w:r>
          </w:p>
          <w:p w:rsidR="00BD6384" w:rsidRPr="00710ABC" w:rsidRDefault="00BD6384" w:rsidP="00710ABC">
            <w:pPr>
              <w:jc w:val="both"/>
            </w:pPr>
            <w:r w:rsidRPr="00710ABC">
              <w:t>-3</w:t>
            </w:r>
            <w:r w:rsidR="00D120F3">
              <w:rPr>
                <w:lang w:val="en-US"/>
              </w:rPr>
              <w:t>D</w:t>
            </w:r>
            <w:r w:rsidR="003226BE" w:rsidRPr="00710ABC">
              <w:t>-</w:t>
            </w:r>
            <w:r w:rsidRPr="00710ABC">
              <w:t xml:space="preserve"> моделирование;</w:t>
            </w:r>
          </w:p>
          <w:p w:rsidR="00BD6384" w:rsidRPr="00710ABC" w:rsidRDefault="00BD6384" w:rsidP="00710ABC">
            <w:pPr>
              <w:jc w:val="both"/>
            </w:pPr>
            <w:r w:rsidRPr="00710ABC">
              <w:t>-параметрический дизайн городской среды;</w:t>
            </w:r>
          </w:p>
          <w:p w:rsidR="00BD6384" w:rsidRPr="00710ABC" w:rsidRDefault="00BD6384" w:rsidP="00710ABC">
            <w:pPr>
              <w:jc w:val="both"/>
            </w:pPr>
            <w:r w:rsidRPr="00710ABC">
              <w:t>-обработка материалов на станках с ЧПУ;</w:t>
            </w:r>
          </w:p>
          <w:p w:rsidR="00BD6384" w:rsidRPr="00710ABC" w:rsidRDefault="00BD6384" w:rsidP="00710ABC">
            <w:pPr>
              <w:jc w:val="both"/>
            </w:pPr>
            <w:r w:rsidRPr="00710ABC">
              <w:t>-электромонтаж и работа с подсветкой;</w:t>
            </w:r>
          </w:p>
          <w:p w:rsidR="00BD6384" w:rsidRPr="00710ABC" w:rsidRDefault="00BD6384" w:rsidP="00710ABC">
            <w:pPr>
              <w:jc w:val="both"/>
            </w:pPr>
            <w:r w:rsidRPr="00710ABC">
              <w:t xml:space="preserve">-изготовление сувенирной продукции из фанеры и древесины. </w:t>
            </w:r>
          </w:p>
          <w:p w:rsidR="00BD6384" w:rsidRPr="00710ABC" w:rsidRDefault="00BD6384" w:rsidP="00710ABC">
            <w:pPr>
              <w:jc w:val="both"/>
            </w:pPr>
            <w:r w:rsidRPr="00710ABC">
              <w:t xml:space="preserve">4. Реализация мотивационных и </w:t>
            </w:r>
            <w:proofErr w:type="spellStart"/>
            <w:r w:rsidRPr="00710ABC">
              <w:t>профориентационных</w:t>
            </w:r>
            <w:proofErr w:type="spellEnd"/>
            <w:r w:rsidRPr="00710ABC">
              <w:t xml:space="preserve"> мероприятий для участников проекта. </w:t>
            </w:r>
          </w:p>
          <w:p w:rsidR="00BD6384" w:rsidRPr="00710ABC" w:rsidRDefault="00BD6384" w:rsidP="00710ABC">
            <w:pPr>
              <w:jc w:val="both"/>
            </w:pPr>
            <w:r w:rsidRPr="00710ABC">
              <w:t>5. Презентация итоговых проектов и изготовление макета арт-объекта «Город будущего».</w:t>
            </w:r>
          </w:p>
        </w:tc>
      </w:tr>
      <w:tr w:rsidR="00BD6384" w:rsidRPr="00710ABC" w:rsidTr="00710ABC">
        <w:tc>
          <w:tcPr>
            <w:tcW w:w="567" w:type="dxa"/>
          </w:tcPr>
          <w:p w:rsidR="00BD6384" w:rsidRPr="00710ABC" w:rsidRDefault="00BD6384" w:rsidP="00710ABC">
            <w:pPr>
              <w:jc w:val="both"/>
            </w:pPr>
            <w:r w:rsidRPr="00710ABC">
              <w:t>10.</w:t>
            </w:r>
          </w:p>
        </w:tc>
        <w:tc>
          <w:tcPr>
            <w:tcW w:w="2553" w:type="dxa"/>
          </w:tcPr>
          <w:p w:rsidR="00BD6384" w:rsidRPr="00710ABC" w:rsidRDefault="00BD6384" w:rsidP="00710ABC">
            <w:pPr>
              <w:jc w:val="both"/>
            </w:pPr>
            <w:r w:rsidRPr="00710ABC">
              <w:t>Результативность</w:t>
            </w:r>
          </w:p>
        </w:tc>
        <w:tc>
          <w:tcPr>
            <w:tcW w:w="7512" w:type="dxa"/>
          </w:tcPr>
          <w:p w:rsidR="00BD6384" w:rsidRPr="00710ABC" w:rsidRDefault="00BD6384" w:rsidP="00710ABC">
            <w:pPr>
              <w:jc w:val="both"/>
            </w:pPr>
            <w:r w:rsidRPr="00710ABC">
              <w:t>По окончанию проекта:</w:t>
            </w:r>
          </w:p>
          <w:p w:rsidR="00BD6384" w:rsidRPr="00710ABC" w:rsidRDefault="00D120F3" w:rsidP="00710ABC">
            <w:pPr>
              <w:numPr>
                <w:ilvl w:val="0"/>
                <w:numId w:val="2"/>
              </w:numPr>
              <w:snapToGrid w:val="0"/>
              <w:ind w:left="0" w:firstLine="0"/>
              <w:contextualSpacing/>
              <w:jc w:val="both"/>
              <w:rPr>
                <w:rFonts w:eastAsia="Calibri"/>
                <w:lang w:eastAsia="en-US"/>
              </w:rPr>
            </w:pPr>
            <w:r>
              <w:rPr>
                <w:rFonts w:eastAsia="Calibri"/>
                <w:lang w:eastAsia="en-US"/>
              </w:rPr>
              <w:t>в</w:t>
            </w:r>
            <w:r w:rsidR="00BD6384" w:rsidRPr="00710ABC">
              <w:rPr>
                <w:rFonts w:eastAsia="Calibri"/>
                <w:lang w:eastAsia="en-US"/>
              </w:rPr>
              <w:t>ыстраивание эффективной системы профориентации, включающей в себя ориентацию на актуальные для ре</w:t>
            </w:r>
            <w:r>
              <w:rPr>
                <w:rFonts w:eastAsia="Calibri"/>
                <w:lang w:eastAsia="en-US"/>
              </w:rPr>
              <w:t>гиона «профессии будущего»;</w:t>
            </w:r>
            <w:r w:rsidR="00BD6384" w:rsidRPr="00710ABC">
              <w:rPr>
                <w:rFonts w:eastAsia="Calibri"/>
                <w:lang w:eastAsia="en-US"/>
              </w:rPr>
              <w:br/>
              <w:t xml:space="preserve"> дополнительное образование, профессиональные пробы и </w:t>
            </w:r>
            <w:proofErr w:type="spellStart"/>
            <w:r w:rsidR="00BD6384" w:rsidRPr="00710ABC">
              <w:rPr>
                <w:rFonts w:eastAsia="Calibri"/>
                <w:lang w:eastAsia="en-US"/>
              </w:rPr>
              <w:t>конкурс</w:t>
            </w:r>
            <w:proofErr w:type="gramStart"/>
            <w:r>
              <w:rPr>
                <w:rFonts w:eastAsia="Calibri"/>
                <w:lang w:eastAsia="en-US"/>
              </w:rPr>
              <w:t>;</w:t>
            </w:r>
            <w:r w:rsidR="00BD6384" w:rsidRPr="00710ABC">
              <w:rPr>
                <w:rFonts w:eastAsia="Calibri"/>
                <w:lang w:eastAsia="en-US"/>
              </w:rPr>
              <w:t>ы</w:t>
            </w:r>
            <w:proofErr w:type="spellEnd"/>
            <w:proofErr w:type="gramEnd"/>
          </w:p>
          <w:p w:rsidR="00BD6384" w:rsidRPr="00710ABC" w:rsidRDefault="00D120F3" w:rsidP="00710ABC">
            <w:pPr>
              <w:numPr>
                <w:ilvl w:val="0"/>
                <w:numId w:val="2"/>
              </w:numPr>
              <w:snapToGrid w:val="0"/>
              <w:ind w:left="0" w:firstLine="0"/>
              <w:contextualSpacing/>
              <w:jc w:val="both"/>
              <w:rPr>
                <w:rFonts w:eastAsia="Calibri"/>
                <w:lang w:eastAsia="en-US"/>
              </w:rPr>
            </w:pPr>
            <w:r>
              <w:rPr>
                <w:rFonts w:eastAsia="Calibri"/>
                <w:lang w:eastAsia="en-US"/>
              </w:rPr>
              <w:t>р</w:t>
            </w:r>
            <w:r w:rsidR="00BD6384" w:rsidRPr="00710ABC">
              <w:rPr>
                <w:rFonts w:eastAsia="Calibri"/>
                <w:lang w:eastAsia="en-US"/>
              </w:rPr>
              <w:t>азработан комплекс программ дополнительного образования, ориент</w:t>
            </w:r>
            <w:r>
              <w:rPr>
                <w:rFonts w:eastAsia="Calibri"/>
                <w:lang w:eastAsia="en-US"/>
              </w:rPr>
              <w:t>ирующих на «профессии будущего»;</w:t>
            </w:r>
          </w:p>
          <w:p w:rsidR="00BD6384" w:rsidRPr="00710ABC" w:rsidRDefault="00D120F3" w:rsidP="00710ABC">
            <w:pPr>
              <w:numPr>
                <w:ilvl w:val="0"/>
                <w:numId w:val="2"/>
              </w:numPr>
              <w:snapToGrid w:val="0"/>
              <w:ind w:left="0" w:firstLine="0"/>
              <w:contextualSpacing/>
              <w:jc w:val="both"/>
              <w:rPr>
                <w:rFonts w:eastAsia="Calibri"/>
                <w:lang w:eastAsia="en-US"/>
              </w:rPr>
            </w:pPr>
            <w:r>
              <w:rPr>
                <w:rFonts w:eastAsia="Calibri"/>
                <w:lang w:eastAsia="en-US"/>
              </w:rPr>
              <w:t>п</w:t>
            </w:r>
            <w:r w:rsidR="00BD6384" w:rsidRPr="00710ABC">
              <w:rPr>
                <w:rFonts w:eastAsia="Calibri"/>
                <w:lang w:eastAsia="en-US"/>
              </w:rPr>
              <w:t>о итогам ребята выполн</w:t>
            </w:r>
            <w:r>
              <w:rPr>
                <w:rFonts w:eastAsia="Calibri"/>
                <w:lang w:eastAsia="en-US"/>
              </w:rPr>
              <w:t>яют</w:t>
            </w:r>
            <w:r w:rsidR="00BD6384" w:rsidRPr="00710ABC">
              <w:rPr>
                <w:rFonts w:eastAsia="Calibri"/>
                <w:lang w:eastAsia="en-US"/>
              </w:rPr>
              <w:t xml:space="preserve"> коллективные проекты в виде </w:t>
            </w:r>
            <w:r w:rsidR="00BD6384" w:rsidRPr="00710ABC">
              <w:rPr>
                <w:rFonts w:eastAsia="Calibri"/>
                <w:lang w:eastAsia="en-US"/>
              </w:rPr>
              <w:lastRenderedPageBreak/>
              <w:t>«Города будущего», которые позволят закрепить их теоретические знания на практике</w:t>
            </w:r>
            <w:r>
              <w:rPr>
                <w:rFonts w:eastAsia="Calibri"/>
                <w:lang w:eastAsia="en-US"/>
              </w:rPr>
              <w:t>;</w:t>
            </w:r>
          </w:p>
          <w:p w:rsidR="00BD6384" w:rsidRPr="00710ABC" w:rsidRDefault="00D120F3" w:rsidP="00D120F3">
            <w:pPr>
              <w:numPr>
                <w:ilvl w:val="0"/>
                <w:numId w:val="2"/>
              </w:numPr>
              <w:snapToGrid w:val="0"/>
              <w:ind w:left="0" w:firstLine="0"/>
              <w:contextualSpacing/>
              <w:jc w:val="both"/>
              <w:rPr>
                <w:rFonts w:eastAsia="Calibri"/>
                <w:lang w:eastAsia="en-US"/>
              </w:rPr>
            </w:pPr>
            <w:r>
              <w:rPr>
                <w:rFonts w:eastAsia="Calibri"/>
                <w:lang w:eastAsia="en-US"/>
              </w:rPr>
              <w:t>б</w:t>
            </w:r>
            <w:r w:rsidR="00BD6384" w:rsidRPr="00710ABC">
              <w:rPr>
                <w:rFonts w:eastAsia="Calibri"/>
                <w:lang w:eastAsia="en-US"/>
              </w:rPr>
              <w:t xml:space="preserve">удет осуществляться </w:t>
            </w:r>
            <w:proofErr w:type="spellStart"/>
            <w:r w:rsidR="00BD6384" w:rsidRPr="00710ABC">
              <w:rPr>
                <w:rFonts w:eastAsia="Calibri"/>
                <w:lang w:eastAsia="en-US"/>
              </w:rPr>
              <w:t>постпроектное</w:t>
            </w:r>
            <w:proofErr w:type="spellEnd"/>
            <w:r w:rsidR="00BD6384" w:rsidRPr="00710ABC">
              <w:rPr>
                <w:rFonts w:eastAsia="Calibri"/>
                <w:lang w:eastAsia="en-US"/>
              </w:rPr>
              <w:t xml:space="preserve"> продолжение обучения участников проекта по разработанным программам.</w:t>
            </w:r>
          </w:p>
        </w:tc>
      </w:tr>
      <w:tr w:rsidR="00BD6384" w:rsidRPr="00710ABC" w:rsidTr="00710ABC">
        <w:tc>
          <w:tcPr>
            <w:tcW w:w="567" w:type="dxa"/>
          </w:tcPr>
          <w:p w:rsidR="00BD6384" w:rsidRPr="00710ABC" w:rsidRDefault="00BD6384" w:rsidP="00710ABC">
            <w:pPr>
              <w:jc w:val="both"/>
            </w:pPr>
            <w:r w:rsidRPr="00710ABC">
              <w:lastRenderedPageBreak/>
              <w:t>11.</w:t>
            </w:r>
          </w:p>
        </w:tc>
        <w:tc>
          <w:tcPr>
            <w:tcW w:w="2553" w:type="dxa"/>
          </w:tcPr>
          <w:p w:rsidR="00BD6384" w:rsidRPr="00710ABC" w:rsidRDefault="00BD6384" w:rsidP="00710ABC">
            <w:pPr>
              <w:jc w:val="both"/>
            </w:pPr>
            <w:r w:rsidRPr="00710ABC">
              <w:t>Адресная направленность</w:t>
            </w:r>
          </w:p>
        </w:tc>
        <w:tc>
          <w:tcPr>
            <w:tcW w:w="7512" w:type="dxa"/>
          </w:tcPr>
          <w:p w:rsidR="00BD6384" w:rsidRPr="00710ABC" w:rsidRDefault="00BD6384" w:rsidP="00710ABC">
            <w:pPr>
              <w:jc w:val="both"/>
            </w:pPr>
            <w:r w:rsidRPr="00710ABC">
              <w:t>Подростки 12-16 лет, оказавшиеся в трудной жизненной ситуации, в том числе:</w:t>
            </w:r>
          </w:p>
          <w:p w:rsidR="00BD6384" w:rsidRPr="00710ABC" w:rsidRDefault="00BD6384" w:rsidP="00710ABC">
            <w:pPr>
              <w:jc w:val="both"/>
            </w:pPr>
            <w:r w:rsidRPr="00710ABC">
              <w:t xml:space="preserve">- состоящие на учете в </w:t>
            </w:r>
            <w:proofErr w:type="spellStart"/>
            <w:r w:rsidRPr="00710ABC">
              <w:t>КДНиЗП</w:t>
            </w:r>
            <w:proofErr w:type="spellEnd"/>
            <w:r w:rsidRPr="00710ABC">
              <w:t xml:space="preserve"> города Рязани</w:t>
            </w:r>
            <w:r w:rsidR="00D120F3">
              <w:t>;</w:t>
            </w:r>
            <w:bookmarkStart w:id="0" w:name="_GoBack"/>
            <w:bookmarkEnd w:id="0"/>
            <w:r w:rsidRPr="00710ABC">
              <w:t xml:space="preserve"> </w:t>
            </w:r>
          </w:p>
          <w:p w:rsidR="00BD6384" w:rsidRPr="00710ABC" w:rsidRDefault="00BD6384" w:rsidP="00710ABC">
            <w:pPr>
              <w:jc w:val="both"/>
            </w:pPr>
            <w:r w:rsidRPr="00710ABC">
              <w:t xml:space="preserve">- на </w:t>
            </w:r>
            <w:proofErr w:type="spellStart"/>
            <w:r w:rsidRPr="00710ABC">
              <w:t>внутришкольных</w:t>
            </w:r>
            <w:proofErr w:type="spellEnd"/>
            <w:r w:rsidRPr="00710ABC">
              <w:t xml:space="preserve"> учетах.</w:t>
            </w:r>
          </w:p>
        </w:tc>
      </w:tr>
      <w:tr w:rsidR="00BD6384" w:rsidRPr="00710ABC" w:rsidTr="00710ABC">
        <w:tc>
          <w:tcPr>
            <w:tcW w:w="567" w:type="dxa"/>
          </w:tcPr>
          <w:p w:rsidR="00BD6384" w:rsidRPr="00710ABC" w:rsidRDefault="00BD6384" w:rsidP="00710ABC">
            <w:pPr>
              <w:jc w:val="both"/>
            </w:pPr>
            <w:r w:rsidRPr="00710ABC">
              <w:t>12.</w:t>
            </w:r>
          </w:p>
        </w:tc>
        <w:tc>
          <w:tcPr>
            <w:tcW w:w="2553" w:type="dxa"/>
          </w:tcPr>
          <w:p w:rsidR="00BD6384" w:rsidRPr="00710ABC" w:rsidRDefault="00BD6384" w:rsidP="00710ABC">
            <w:pPr>
              <w:jc w:val="both"/>
            </w:pPr>
            <w:r w:rsidRPr="00710ABC">
              <w:t>Приложения</w:t>
            </w:r>
          </w:p>
        </w:tc>
        <w:tc>
          <w:tcPr>
            <w:tcW w:w="7512" w:type="dxa"/>
          </w:tcPr>
          <w:p w:rsidR="00BD6384" w:rsidRPr="00710ABC" w:rsidRDefault="00BD6384" w:rsidP="00710ABC">
            <w:pPr>
              <w:jc w:val="both"/>
            </w:pPr>
            <w:r w:rsidRPr="00710ABC">
              <w:t>Проект «Город будущего», дополнительная общеобразовательная общеразвивающая программа «Город будущего».</w:t>
            </w:r>
          </w:p>
        </w:tc>
      </w:tr>
    </w:tbl>
    <w:p w:rsidR="0093463E" w:rsidRPr="00710ABC" w:rsidRDefault="0093463E" w:rsidP="00710ABC">
      <w:pPr>
        <w:jc w:val="both"/>
      </w:pPr>
    </w:p>
    <w:sectPr w:rsidR="0093463E" w:rsidRPr="00710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6ECF"/>
    <w:multiLevelType w:val="hybridMultilevel"/>
    <w:tmpl w:val="DF08EE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1945857"/>
    <w:multiLevelType w:val="hybridMultilevel"/>
    <w:tmpl w:val="078E2342"/>
    <w:lvl w:ilvl="0" w:tplc="0360C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7A"/>
    <w:rsid w:val="00055447"/>
    <w:rsid w:val="00065FDD"/>
    <w:rsid w:val="00072322"/>
    <w:rsid w:val="00097D09"/>
    <w:rsid w:val="000B30ED"/>
    <w:rsid w:val="000E1B8B"/>
    <w:rsid w:val="00110407"/>
    <w:rsid w:val="00112623"/>
    <w:rsid w:val="0012328B"/>
    <w:rsid w:val="001B2A7A"/>
    <w:rsid w:val="001E7EB6"/>
    <w:rsid w:val="002B5542"/>
    <w:rsid w:val="002D35A0"/>
    <w:rsid w:val="002D6A5E"/>
    <w:rsid w:val="002E5EBF"/>
    <w:rsid w:val="002F1B96"/>
    <w:rsid w:val="003226BE"/>
    <w:rsid w:val="00381AF6"/>
    <w:rsid w:val="00382172"/>
    <w:rsid w:val="00413C60"/>
    <w:rsid w:val="00643FD0"/>
    <w:rsid w:val="006600EB"/>
    <w:rsid w:val="006649C4"/>
    <w:rsid w:val="006B3376"/>
    <w:rsid w:val="006D0505"/>
    <w:rsid w:val="00710ABC"/>
    <w:rsid w:val="007C23B3"/>
    <w:rsid w:val="0086351D"/>
    <w:rsid w:val="008667E2"/>
    <w:rsid w:val="00897C0B"/>
    <w:rsid w:val="008B6B71"/>
    <w:rsid w:val="0093463E"/>
    <w:rsid w:val="00991746"/>
    <w:rsid w:val="009B35D9"/>
    <w:rsid w:val="009F1B8E"/>
    <w:rsid w:val="00B122AA"/>
    <w:rsid w:val="00B84116"/>
    <w:rsid w:val="00B91575"/>
    <w:rsid w:val="00B91F72"/>
    <w:rsid w:val="00BB2C3B"/>
    <w:rsid w:val="00BC0693"/>
    <w:rsid w:val="00BD6384"/>
    <w:rsid w:val="00C35BEC"/>
    <w:rsid w:val="00C7434D"/>
    <w:rsid w:val="00C90F9C"/>
    <w:rsid w:val="00CB4F96"/>
    <w:rsid w:val="00CE7167"/>
    <w:rsid w:val="00D120F3"/>
    <w:rsid w:val="00E56DE3"/>
    <w:rsid w:val="00E90A7C"/>
    <w:rsid w:val="00ED503E"/>
    <w:rsid w:val="00FE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4F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A7A"/>
    <w:rPr>
      <w:color w:val="0000FF" w:themeColor="hyperlink"/>
      <w:u w:val="single"/>
    </w:rPr>
  </w:style>
  <w:style w:type="table" w:styleId="a4">
    <w:name w:val="Table Grid"/>
    <w:basedOn w:val="a1"/>
    <w:uiPriority w:val="39"/>
    <w:rsid w:val="001B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B2A7A"/>
    <w:rPr>
      <w:b/>
      <w:bCs/>
      <w:sz w:val="20"/>
    </w:rPr>
  </w:style>
  <w:style w:type="character" w:customStyle="1" w:styleId="a6">
    <w:name w:val="Основной текст Знак"/>
    <w:basedOn w:val="a0"/>
    <w:link w:val="a5"/>
    <w:rsid w:val="001B2A7A"/>
    <w:rPr>
      <w:rFonts w:ascii="Times New Roman" w:eastAsia="Times New Roman" w:hAnsi="Times New Roman" w:cs="Times New Roman"/>
      <w:b/>
      <w:bCs/>
      <w:sz w:val="20"/>
      <w:szCs w:val="24"/>
      <w:lang w:eastAsia="ru-RU"/>
    </w:rPr>
  </w:style>
  <w:style w:type="character" w:customStyle="1" w:styleId="10">
    <w:name w:val="Заголовок 1 Знак"/>
    <w:basedOn w:val="a0"/>
    <w:link w:val="1"/>
    <w:uiPriority w:val="9"/>
    <w:rsid w:val="00CB4F96"/>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B122AA"/>
    <w:pPr>
      <w:spacing w:before="100" w:beforeAutospacing="1" w:after="100" w:afterAutospacing="1"/>
    </w:pPr>
  </w:style>
  <w:style w:type="paragraph" w:styleId="a8">
    <w:name w:val="Balloon Text"/>
    <w:basedOn w:val="a"/>
    <w:link w:val="a9"/>
    <w:uiPriority w:val="99"/>
    <w:semiHidden/>
    <w:unhideWhenUsed/>
    <w:rsid w:val="00897C0B"/>
    <w:rPr>
      <w:rFonts w:ascii="Tahoma" w:hAnsi="Tahoma" w:cs="Tahoma"/>
      <w:sz w:val="16"/>
      <w:szCs w:val="16"/>
    </w:rPr>
  </w:style>
  <w:style w:type="character" w:customStyle="1" w:styleId="a9">
    <w:name w:val="Текст выноски Знак"/>
    <w:basedOn w:val="a0"/>
    <w:link w:val="a8"/>
    <w:uiPriority w:val="99"/>
    <w:semiHidden/>
    <w:rsid w:val="00897C0B"/>
    <w:rPr>
      <w:rFonts w:ascii="Tahoma" w:eastAsia="Times New Roman" w:hAnsi="Tahoma" w:cs="Tahoma"/>
      <w:sz w:val="16"/>
      <w:szCs w:val="16"/>
      <w:lang w:eastAsia="ru-RU"/>
    </w:rPr>
  </w:style>
  <w:style w:type="character" w:customStyle="1" w:styleId="c6">
    <w:name w:val="c6"/>
    <w:basedOn w:val="a0"/>
    <w:rsid w:val="003226BE"/>
  </w:style>
  <w:style w:type="character" w:customStyle="1" w:styleId="c3">
    <w:name w:val="c3"/>
    <w:basedOn w:val="a0"/>
    <w:rsid w:val="00322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4F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A7A"/>
    <w:rPr>
      <w:color w:val="0000FF" w:themeColor="hyperlink"/>
      <w:u w:val="single"/>
    </w:rPr>
  </w:style>
  <w:style w:type="table" w:styleId="a4">
    <w:name w:val="Table Grid"/>
    <w:basedOn w:val="a1"/>
    <w:uiPriority w:val="39"/>
    <w:rsid w:val="001B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B2A7A"/>
    <w:rPr>
      <w:b/>
      <w:bCs/>
      <w:sz w:val="20"/>
    </w:rPr>
  </w:style>
  <w:style w:type="character" w:customStyle="1" w:styleId="a6">
    <w:name w:val="Основной текст Знак"/>
    <w:basedOn w:val="a0"/>
    <w:link w:val="a5"/>
    <w:rsid w:val="001B2A7A"/>
    <w:rPr>
      <w:rFonts w:ascii="Times New Roman" w:eastAsia="Times New Roman" w:hAnsi="Times New Roman" w:cs="Times New Roman"/>
      <w:b/>
      <w:bCs/>
      <w:sz w:val="20"/>
      <w:szCs w:val="24"/>
      <w:lang w:eastAsia="ru-RU"/>
    </w:rPr>
  </w:style>
  <w:style w:type="character" w:customStyle="1" w:styleId="10">
    <w:name w:val="Заголовок 1 Знак"/>
    <w:basedOn w:val="a0"/>
    <w:link w:val="1"/>
    <w:uiPriority w:val="9"/>
    <w:rsid w:val="00CB4F96"/>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B122AA"/>
    <w:pPr>
      <w:spacing w:before="100" w:beforeAutospacing="1" w:after="100" w:afterAutospacing="1"/>
    </w:pPr>
  </w:style>
  <w:style w:type="paragraph" w:styleId="a8">
    <w:name w:val="Balloon Text"/>
    <w:basedOn w:val="a"/>
    <w:link w:val="a9"/>
    <w:uiPriority w:val="99"/>
    <w:semiHidden/>
    <w:unhideWhenUsed/>
    <w:rsid w:val="00897C0B"/>
    <w:rPr>
      <w:rFonts w:ascii="Tahoma" w:hAnsi="Tahoma" w:cs="Tahoma"/>
      <w:sz w:val="16"/>
      <w:szCs w:val="16"/>
    </w:rPr>
  </w:style>
  <w:style w:type="character" w:customStyle="1" w:styleId="a9">
    <w:name w:val="Текст выноски Знак"/>
    <w:basedOn w:val="a0"/>
    <w:link w:val="a8"/>
    <w:uiPriority w:val="99"/>
    <w:semiHidden/>
    <w:rsid w:val="00897C0B"/>
    <w:rPr>
      <w:rFonts w:ascii="Tahoma" w:eastAsia="Times New Roman" w:hAnsi="Tahoma" w:cs="Tahoma"/>
      <w:sz w:val="16"/>
      <w:szCs w:val="16"/>
      <w:lang w:eastAsia="ru-RU"/>
    </w:rPr>
  </w:style>
  <w:style w:type="character" w:customStyle="1" w:styleId="c6">
    <w:name w:val="c6"/>
    <w:basedOn w:val="a0"/>
    <w:rsid w:val="003226BE"/>
  </w:style>
  <w:style w:type="character" w:customStyle="1" w:styleId="c3">
    <w:name w:val="c3"/>
    <w:basedOn w:val="a0"/>
    <w:rsid w:val="0032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2020-01-16T12:03:00Z</cp:lastPrinted>
  <dcterms:created xsi:type="dcterms:W3CDTF">2020-01-14T11:32:00Z</dcterms:created>
  <dcterms:modified xsi:type="dcterms:W3CDTF">2021-03-11T12:01:00Z</dcterms:modified>
</cp:coreProperties>
</file>