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61" w:rsidRPr="002B0161" w:rsidRDefault="002B0161" w:rsidP="002B0161">
      <w:pPr>
        <w:spacing w:before="1575" w:after="660" w:line="555" w:lineRule="atLeast"/>
        <w:outlineLvl w:val="0"/>
        <w:rPr>
          <w:rFonts w:ascii="Arial" w:eastAsia="Times New Roman" w:hAnsi="Arial" w:cs="Arial"/>
          <w:color w:val="020C22"/>
          <w:kern w:val="36"/>
          <w:sz w:val="48"/>
          <w:szCs w:val="48"/>
          <w:lang w:eastAsia="ru-RU"/>
        </w:rPr>
      </w:pPr>
      <w:r w:rsidRPr="002B0161">
        <w:rPr>
          <w:rFonts w:ascii="Arial" w:eastAsia="Times New Roman" w:hAnsi="Arial" w:cs="Arial"/>
          <w:color w:val="020C22"/>
          <w:kern w:val="36"/>
          <w:sz w:val="48"/>
          <w:szCs w:val="48"/>
          <w:lang w:eastAsia="ru-RU"/>
        </w:rPr>
        <w:t>Указ о национальных целях развития Российской Федерации на период до 2030 года и на перспективу до 2036 года</w:t>
      </w:r>
    </w:p>
    <w:p w:rsidR="002B0161" w:rsidRPr="002B0161" w:rsidRDefault="002B0161" w:rsidP="002B0161">
      <w:pPr>
        <w:spacing w:line="420" w:lineRule="atLeast"/>
        <w:rPr>
          <w:rFonts w:ascii="Arial" w:eastAsia="Times New Roman" w:hAnsi="Arial" w:cs="Arial"/>
          <w:color w:val="020C22"/>
          <w:sz w:val="30"/>
          <w:szCs w:val="30"/>
          <w:lang w:eastAsia="ru-RU"/>
        </w:rPr>
      </w:pPr>
      <w:r w:rsidRPr="002B0161">
        <w:rPr>
          <w:rFonts w:ascii="Arial" w:eastAsia="Times New Roman" w:hAnsi="Arial" w:cs="Arial"/>
          <w:color w:val="020C22"/>
          <w:sz w:val="30"/>
          <w:szCs w:val="30"/>
          <w:lang w:eastAsia="ru-RU"/>
        </w:rPr>
        <w:t>Президент подписал Указ «О национальных целях развития Российской Федерации на период до 2030 года и на перспективу до 2036 года».</w:t>
      </w:r>
    </w:p>
    <w:p w:rsidR="002B0161" w:rsidRPr="002B0161" w:rsidRDefault="002B0161" w:rsidP="002B0161">
      <w:pPr>
        <w:spacing w:after="0" w:line="240" w:lineRule="auto"/>
        <w:rPr>
          <w:rFonts w:ascii="Arial" w:eastAsia="Times New Roman" w:hAnsi="Arial" w:cs="Arial"/>
          <w:color w:val="020C22"/>
          <w:sz w:val="20"/>
          <w:szCs w:val="20"/>
          <w:lang w:eastAsia="ru-RU"/>
        </w:rPr>
      </w:pPr>
      <w:r w:rsidRPr="002B0161">
        <w:rPr>
          <w:rFonts w:ascii="Arial" w:eastAsia="Times New Roman" w:hAnsi="Arial" w:cs="Arial"/>
          <w:color w:val="020C22"/>
          <w:sz w:val="20"/>
          <w:szCs w:val="20"/>
          <w:lang w:eastAsia="ru-RU"/>
        </w:rPr>
        <w:t>7 мая 2024 года</w:t>
      </w:r>
    </w:p>
    <w:p w:rsidR="002B0161" w:rsidRPr="002B0161" w:rsidRDefault="002B0161" w:rsidP="002B0161">
      <w:pPr>
        <w:spacing w:line="240" w:lineRule="auto"/>
        <w:rPr>
          <w:rFonts w:ascii="Arial" w:eastAsia="Times New Roman" w:hAnsi="Arial" w:cs="Arial"/>
          <w:color w:val="020C22"/>
          <w:sz w:val="20"/>
          <w:szCs w:val="20"/>
          <w:lang w:eastAsia="ru-RU"/>
        </w:rPr>
      </w:pPr>
      <w:r w:rsidRPr="002B0161">
        <w:rPr>
          <w:rFonts w:ascii="Arial" w:eastAsia="Times New Roman" w:hAnsi="Arial" w:cs="Arial"/>
          <w:color w:val="020C22"/>
          <w:sz w:val="20"/>
          <w:szCs w:val="20"/>
          <w:lang w:eastAsia="ru-RU"/>
        </w:rPr>
        <w:t>18:40</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Текст Указа: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1. Определить следующие национальные цели развития Российской Федерации на период до 2030 года и на перспективу до 2036 года (далее – национальные цели):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сохранение населения, укрепление здоровья и повышение благополучия людей, поддержка семьи;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реализация потенциала каждого человека, развитие его талантов, воспитание патриотичной и социально ответственной личности;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комфортная и безопасная среда для жизни;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г) экологическое благополучие;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устойчивая и динамичная экономика;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технологическое лидерство;</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цифровая трансформация государственного и муниципального управления, экономики и социальной сферы.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снижение к 2036 году дифференциации показателей ожидаемой продолжительности жизни не менее чем на 25 процентов по сравнению с уровнем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повышение к 2030 году уровня удовлетворенности граждан условиями для занятий физической культурой и спортом;</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 xml:space="preserve">и) создание и запуск к 2030 году цифровой платформы, способствующей формированию, поддержанию и сохранению здоровья человека </w:t>
      </w:r>
      <w:r w:rsidRPr="002B0161">
        <w:rPr>
          <w:rFonts w:ascii="Arial" w:eastAsia="Times New Roman" w:hAnsi="Arial" w:cs="Arial"/>
          <w:color w:val="020C22"/>
          <w:sz w:val="26"/>
          <w:szCs w:val="26"/>
          <w:lang w:eastAsia="ru-RU"/>
        </w:rPr>
        <w:lastRenderedPageBreak/>
        <w:t>на протяжении всей его жизни, на базе принципа управления на основе данных;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л) снижение коэффициента Джини (индекс концентрации доходов) до 0,37 к 2030 году и до 0,33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г) увеличение к 2030 году доли молодых людей, верящих в возможности самореализации в России, не менее чем до 85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увеличение к 2030 году доли молодых людей, вовлеченных в добровольческую и общественную деятельность, не менее чем до 45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з) 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улучшение качества среды для жизни в опорных населенных пунктах на 30 процентов к 2030 году и на 60 процентов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обеспечение граждан жильем общей площадью не менее 33 кв. метров на человека к 2030 году и не менее 38 кв. метров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обновление к 2030 году жилищного фонда не менее чем на 20 процентов по сравнению с показателем 2019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устойчивое сокращение непригодного для проживания жилищного фонда;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повышение доступности жилья на первичном рынке;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з) строительство и реконструкция (модернизация) не менее чем 2 тыс. объектов питьевого водоснабжения и водоподготовки к 2030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 xml:space="preserve">р) оснащение к 2030 году необходимым оборудованием до 900 центров воспроизведения аудиовизуального контента в малых населенных пунктах </w:t>
      </w:r>
      <w:r w:rsidRPr="002B0161">
        <w:rPr>
          <w:rFonts w:ascii="Arial" w:eastAsia="Times New Roman" w:hAnsi="Arial" w:cs="Arial"/>
          <w:color w:val="020C22"/>
          <w:sz w:val="26"/>
          <w:szCs w:val="26"/>
          <w:lang w:eastAsia="ru-RU"/>
        </w:rPr>
        <w:lastRenderedPageBreak/>
        <w:t>(с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5. Установить следующие целевые показатели и задачи, выполнение которых характеризует достижение национальной цели «Экологическое благополучие»: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б) снижение доли импорта товаров и услуг в структуре валового внутреннего продукта до 17 процентов к 2030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обеспечение устойчивого роста доходов населения и уровня пенсионного обеспечения не ниже уровня инфляции;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обеспечение в 2024–2030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вхождение к 2030 году Российской Федерации в число 25 ведущих стран мира по показателю плотности роботизации;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н) увеличение к 2030 году доли туристской отрасли в валовом внутреннем продукте до 5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п) увеличение к 2030 году объема производства продукции агропромышленного комплекса не менее чем на 25 процентов по сравнению с уровнем 2021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р) увеличение к 2030 году экспорта продукции агропромышленного комплекса не менее чем в полтора раза по сравнению с уровнем 2021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т) увеличение к 2030 году экспорта туристских услуг в три раза по сравнению с уровнем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ф) увеличение доли креативных (творческих) индустрий в экономике;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х) утверждение и реализация программ адаптации к изменениям климата на федеральном, региональном и корпоративном уровнях;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ц) создание национальной системы мониторинга климатически активных веществ.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7. Установить следующие целевые показатели и задачи, выполнение которых характеризует достижение национальной цели «Технологическое лидерство»:</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обеспечение к 2030 году вхождения Российской Федерации в число 10 ведущих стран мира по объему научных исследований и разработок;</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увеличение к 2030 году выручки малых технологических компаний не менее чем в семь раз по сравнению с уровнем 2023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формирование рынка данных, их активное вовлечение в хозяйственный оборот, хранение, обмен и защита;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г) обеспечение в 2025–2030 годах темпа роста инвестиций в отечественные решения в сфере информационных технологий вдвое выше темпа роста валового внутреннего продукта;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л) обеспечение сетевого суверенитета и информационной безопасности в информационно-телекоммуникационной сети «Интернет».</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9. Правительству Российской Федерации: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lastRenderedPageBreak/>
        <w:t>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национальные проекты: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«Продолжительная и активная жизнь»;</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«Семья»;</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«Молодежь и дети»;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«Кадры»;</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«Инфраструктура для жизни»;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«Эффективная транспортная система»;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«Экологическое благополучие»;</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«Эффективная и конкурентная экономика»;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«Туризм и гостеприимство»;</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«Международная кооперация и экспорт»;</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«Экономика данных и цифровая трансформация государства»;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в) до 31 декабря 2024 г.:</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разработать и утвердить стратегию пространственного развития Российской Федерации на период до 2030 года;</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 xml:space="preserve">д) ежегодно при формировании проекта федерального бюджета на очередной финансовый год и на плановый период предусматривать </w:t>
      </w:r>
      <w:r w:rsidRPr="002B0161">
        <w:rPr>
          <w:rFonts w:ascii="Arial" w:eastAsia="Times New Roman" w:hAnsi="Arial" w:cs="Arial"/>
          <w:color w:val="020C22"/>
          <w:sz w:val="26"/>
          <w:szCs w:val="26"/>
          <w:lang w:eastAsia="ru-RU"/>
        </w:rPr>
        <w:lastRenderedPageBreak/>
        <w:t>в приоритетном порядке бюджетные ассигнования на реализацию национальных целей;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10. Администрации Президента Российской Федерации совместно с Государственным Советом Российской Федерации:</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а) разработать и до 1 октября 2024 г. представить предложения по приведению Указа Президента Российской Федерации от 4 февраля 2021 г.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11. Признать утратившим силу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p w:rsidR="002B0161" w:rsidRPr="002B0161" w:rsidRDefault="002B0161" w:rsidP="002B0161">
      <w:pPr>
        <w:spacing w:after="0" w:line="390" w:lineRule="atLeast"/>
        <w:rPr>
          <w:rFonts w:ascii="Arial" w:eastAsia="Times New Roman" w:hAnsi="Arial" w:cs="Arial"/>
          <w:color w:val="020C22"/>
          <w:sz w:val="26"/>
          <w:szCs w:val="26"/>
          <w:lang w:eastAsia="ru-RU"/>
        </w:rPr>
      </w:pPr>
      <w:r w:rsidRPr="002B0161">
        <w:rPr>
          <w:rFonts w:ascii="Arial" w:eastAsia="Times New Roman" w:hAnsi="Arial" w:cs="Arial"/>
          <w:color w:val="020C22"/>
          <w:sz w:val="26"/>
          <w:szCs w:val="26"/>
          <w:lang w:eastAsia="ru-RU"/>
        </w:rPr>
        <w:t>12. Настоящий Указ вступает в силу со дня его подписания.</w:t>
      </w:r>
    </w:p>
    <w:p w:rsidR="00980A84" w:rsidRDefault="00980A84">
      <w:bookmarkStart w:id="0" w:name="_GoBack"/>
      <w:bookmarkEnd w:id="0"/>
    </w:p>
    <w:sectPr w:rsidR="0098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1"/>
    <w:rsid w:val="002B0161"/>
    <w:rsid w:val="0098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6207D-73E7-416F-A09D-75AB41D2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01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1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B01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13946">
      <w:bodyDiv w:val="1"/>
      <w:marLeft w:val="0"/>
      <w:marRight w:val="0"/>
      <w:marTop w:val="0"/>
      <w:marBottom w:val="0"/>
      <w:divBdr>
        <w:top w:val="none" w:sz="0" w:space="0" w:color="auto"/>
        <w:left w:val="none" w:sz="0" w:space="0" w:color="auto"/>
        <w:bottom w:val="none" w:sz="0" w:space="0" w:color="auto"/>
        <w:right w:val="none" w:sz="0" w:space="0" w:color="auto"/>
      </w:divBdr>
      <w:divsChild>
        <w:div w:id="758912695">
          <w:marLeft w:val="0"/>
          <w:marRight w:val="0"/>
          <w:marTop w:val="0"/>
          <w:marBottom w:val="960"/>
          <w:divBdr>
            <w:top w:val="none" w:sz="0" w:space="0" w:color="auto"/>
            <w:left w:val="none" w:sz="0" w:space="0" w:color="auto"/>
            <w:bottom w:val="single" w:sz="6" w:space="31" w:color="A8F0E0"/>
            <w:right w:val="none" w:sz="0" w:space="0" w:color="auto"/>
          </w:divBdr>
          <w:divsChild>
            <w:div w:id="1506745274">
              <w:marLeft w:val="0"/>
              <w:marRight w:val="0"/>
              <w:marTop w:val="0"/>
              <w:marBottom w:val="435"/>
              <w:divBdr>
                <w:top w:val="none" w:sz="0" w:space="0" w:color="auto"/>
                <w:left w:val="none" w:sz="0" w:space="0" w:color="auto"/>
                <w:bottom w:val="none" w:sz="0" w:space="0" w:color="auto"/>
                <w:right w:val="none" w:sz="0" w:space="0" w:color="auto"/>
              </w:divBdr>
              <w:divsChild>
                <w:div w:id="760294838">
                  <w:marLeft w:val="0"/>
                  <w:marRight w:val="0"/>
                  <w:marTop w:val="0"/>
                  <w:marBottom w:val="720"/>
                  <w:divBdr>
                    <w:top w:val="none" w:sz="0" w:space="0" w:color="auto"/>
                    <w:left w:val="none" w:sz="0" w:space="0" w:color="auto"/>
                    <w:bottom w:val="none" w:sz="0" w:space="0" w:color="auto"/>
                    <w:right w:val="none" w:sz="0" w:space="0" w:color="auto"/>
                  </w:divBdr>
                  <w:divsChild>
                    <w:div w:id="138153529">
                      <w:marLeft w:val="0"/>
                      <w:marRight w:val="0"/>
                      <w:marTop w:val="0"/>
                      <w:marBottom w:val="0"/>
                      <w:divBdr>
                        <w:top w:val="none" w:sz="0" w:space="0" w:color="auto"/>
                        <w:left w:val="none" w:sz="0" w:space="0" w:color="auto"/>
                        <w:bottom w:val="none" w:sz="0" w:space="0" w:color="auto"/>
                        <w:right w:val="none" w:sz="0" w:space="0" w:color="auto"/>
                      </w:divBdr>
                    </w:div>
                  </w:divsChild>
                </w:div>
                <w:div w:id="521750959">
                  <w:marLeft w:val="0"/>
                  <w:marRight w:val="0"/>
                  <w:marTop w:val="0"/>
                  <w:marBottom w:val="450"/>
                  <w:divBdr>
                    <w:top w:val="none" w:sz="0" w:space="0" w:color="auto"/>
                    <w:left w:val="none" w:sz="0" w:space="0" w:color="auto"/>
                    <w:bottom w:val="none" w:sz="0" w:space="0" w:color="auto"/>
                    <w:right w:val="none" w:sz="0" w:space="0" w:color="auto"/>
                  </w:divBdr>
                  <w:divsChild>
                    <w:div w:id="8903891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611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3452</Words>
  <Characters>19677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2024-05-08T04:12:00Z</dcterms:created>
  <dcterms:modified xsi:type="dcterms:W3CDTF">2024-05-08T04:12:00Z</dcterms:modified>
</cp:coreProperties>
</file>